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color w:val="203864" w:themeColor="accent5" w:themeShade="80"/>
          <w:sz w:val="56"/>
          <w:szCs w:val="28"/>
        </w:rPr>
      </w:pPr>
    </w:p>
    <w:p>
      <w:pPr>
        <w:jc w:val="center"/>
        <w:rPr>
          <w:rFonts w:hint="eastAsia" w:ascii="宋体" w:hAnsi="宋体" w:eastAsia="宋体" w:cs="宋体"/>
          <w:color w:val="203864" w:themeColor="accent5" w:themeShade="80"/>
          <w:sz w:val="56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999490" cy="1018540"/>
            <wp:effectExtent l="0" t="0" r="381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3385" t="4402" r="3601" b="4243"/>
                    <a:stretch>
                      <a:fillRect/>
                    </a:stretch>
                  </pic:blipFill>
                  <pic:spPr>
                    <a:xfrm>
                      <a:off x="0" y="0"/>
                      <a:ext cx="1000019" cy="101873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宋体" w:hAnsi="宋体" w:eastAsia="宋体" w:cs="宋体"/>
          <w:color w:val="203864" w:themeColor="accent5" w:themeShade="80"/>
          <w:sz w:val="56"/>
          <w:szCs w:val="28"/>
        </w:rPr>
      </w:pPr>
    </w:p>
    <w:p>
      <w:pPr>
        <w:spacing w:line="1200" w:lineRule="exact"/>
        <w:ind w:firstLine="2400" w:firstLineChars="300"/>
        <w:jc w:val="both"/>
        <w:rPr>
          <w:rFonts w:hint="eastAsia" w:ascii="宋体" w:hAnsi="宋体" w:eastAsia="宋体" w:cs="宋体"/>
          <w:color w:val="8C1306"/>
          <w:sz w:val="80"/>
          <w:szCs w:val="80"/>
        </w:rPr>
      </w:pPr>
      <w:bookmarkStart w:id="0" w:name="_Hlk1027290"/>
      <w:r>
        <w:rPr>
          <w:rFonts w:hint="eastAsia" w:ascii="宋体" w:hAnsi="宋体" w:eastAsia="宋体" w:cs="宋体"/>
          <w:color w:val="8C1306"/>
          <w:sz w:val="80"/>
          <w:szCs w:val="80"/>
        </w:rPr>
        <w:t>日本</w:t>
      </w:r>
      <w:bookmarkStart w:id="1" w:name="_Hlk1546584"/>
      <w:r>
        <w:rPr>
          <w:rFonts w:hint="eastAsia" w:ascii="宋体" w:hAnsi="宋体" w:eastAsia="宋体" w:cs="宋体"/>
          <w:color w:val="8C1306"/>
          <w:sz w:val="80"/>
          <w:szCs w:val="80"/>
        </w:rPr>
        <w:t>上智大学</w:t>
      </w:r>
      <w:bookmarkEnd w:id="1"/>
    </w:p>
    <w:p>
      <w:pPr>
        <w:spacing w:line="1200" w:lineRule="exact"/>
        <w:jc w:val="center"/>
        <w:rPr>
          <w:rFonts w:hint="eastAsia" w:ascii="宋体" w:hAnsi="宋体" w:eastAsia="宋体" w:cs="宋体"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20</w:t>
      </w:r>
      <w:r>
        <w:rPr>
          <w:rFonts w:hint="eastAsia" w:ascii="宋体" w:hAnsi="宋体" w:eastAsia="宋体" w:cs="宋体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21</w:t>
      </w:r>
      <w:r>
        <w:rPr>
          <w:rFonts w:hint="eastAsia" w:ascii="宋体" w:hAnsi="宋体" w:eastAsia="宋体" w:cs="宋体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地球环境学在线短期项目</w:t>
      </w:r>
      <w:bookmarkEnd w:id="0"/>
    </w:p>
    <w:p>
      <w:pPr>
        <w:jc w:val="right"/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Sophia University Japan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Global Environmental Studies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On-line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Programme（2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hint="eastAsia" w:ascii="宋体" w:hAnsi="宋体" w:eastAsia="宋体" w:cs="宋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21）</w:t>
      </w: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</w:pPr>
    </w:p>
    <w:p>
      <w:pPr>
        <w:spacing w:line="400" w:lineRule="exact"/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项目类型：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在线课程</w:t>
      </w:r>
    </w:p>
    <w:p>
      <w:pPr>
        <w:spacing w:line="400" w:lineRule="exact"/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费用区间：</w:t>
      </w:r>
      <w:r>
        <w:rPr>
          <w:rFonts w:hint="eastAsia" w:ascii="宋体" w:hAnsi="宋体" w:eastAsia="宋体" w:cs="宋体"/>
          <w:b/>
          <w:bCs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3980</w:t>
      </w:r>
      <w:r>
        <w:rPr>
          <w:rFonts w:hint="eastAsia" w:ascii="宋体" w:hAnsi="宋体" w:eastAsia="宋体" w:cs="宋体"/>
          <w:b/>
          <w:bCs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元</w:t>
      </w:r>
    </w:p>
    <w:p>
      <w:pPr>
        <w:spacing w:line="400" w:lineRule="exact"/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项目名额：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80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</w:t>
      </w:r>
    </w:p>
    <w:p>
      <w:pPr>
        <w:spacing w:line="400" w:lineRule="exact"/>
        <w:rPr>
          <w:rFonts w:hint="eastAsia" w:ascii="宋体" w:hAnsi="宋体" w:eastAsia="宋体" w:cs="宋体"/>
          <w:szCs w:val="21"/>
          <w:highlight w:val="yellow"/>
        </w:r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项目时段：</w:t>
      </w:r>
      <w:r>
        <w:rPr>
          <w:rFonts w:hint="eastAsia" w:ascii="宋体" w:hAnsi="宋体" w:eastAsia="宋体" w:cs="宋体"/>
          <w:szCs w:val="21"/>
        </w:rPr>
        <w:t>20</w:t>
      </w:r>
      <w:r>
        <w:rPr>
          <w:rFonts w:hint="eastAsia" w:ascii="宋体" w:hAnsi="宋体" w:eastAsia="宋体" w:cs="宋体"/>
          <w:szCs w:val="21"/>
        </w:rPr>
        <w:t>21</w:t>
      </w:r>
      <w:r>
        <w:rPr>
          <w:rFonts w:hint="eastAsia" w:ascii="宋体" w:hAnsi="宋体" w:eastAsia="宋体" w:cs="宋体"/>
          <w:szCs w:val="21"/>
        </w:rPr>
        <w:t>年8月3日</w:t>
      </w:r>
      <w:r>
        <w:rPr>
          <w:rFonts w:hint="eastAsia" w:ascii="宋体" w:hAnsi="宋体" w:eastAsia="宋体" w:cs="宋体"/>
          <w:szCs w:val="21"/>
        </w:rPr>
        <w:t>至</w:t>
      </w:r>
      <w:r>
        <w:rPr>
          <w:rFonts w:hint="eastAsia" w:ascii="宋体" w:hAnsi="宋体" w:eastAsia="宋体" w:cs="宋体"/>
          <w:szCs w:val="21"/>
        </w:rPr>
        <w:t>8月12日</w:t>
      </w:r>
    </w:p>
    <w:p>
      <w:pPr>
        <w:spacing w:line="400" w:lineRule="exact"/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报名截至：20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>
      <w:pPr>
        <w:spacing w:line="400" w:lineRule="exact"/>
        <w:rPr>
          <w:rFonts w:hint="eastAsia" w:ascii="宋体" w:hAnsi="宋体" w:eastAsia="宋体" w:cs="宋体"/>
          <w:color w:val="203864" w:themeColor="accent5" w:themeShade="80"/>
        </w:rPr>
        <w:sectPr>
          <w:pgSz w:w="11906" w:h="16838"/>
          <w:pgMar w:top="1440" w:right="1080" w:bottom="1440" w:left="1080" w:header="851" w:footer="992" w:gutter="0"/>
          <w:pgBorders w:offsetFrom="page">
            <w:top w:val="dashDotStroked" w:color="8C1306" w:sz="24" w:space="24"/>
            <w:left w:val="dashDotStroked" w:color="8C1306" w:sz="24" w:space="24"/>
            <w:bottom w:val="dashDotStroked" w:color="8C1306" w:sz="24" w:space="24"/>
            <w:right w:val="dashDotStroked" w:color="8C1306" w:sz="24" w:space="24"/>
          </w:pgBorders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培养方向：</w:t>
      </w:r>
      <w:r>
        <w:rPr>
          <w:rFonts w:hint="eastAsia" w:ascii="宋体" w:hAnsi="宋体" w:eastAsia="宋体" w:cs="宋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地球环境等相关专业</w:t>
      </w:r>
    </w:p>
    <w:p>
      <w:pPr>
        <w:pStyle w:val="11"/>
        <w:widowControl/>
        <w:ind w:firstLine="0" w:firstLineChars="0"/>
        <w:rPr>
          <w:rFonts w:hint="eastAsia" w:ascii="宋体" w:hAnsi="宋体" w:eastAsia="宋体" w:cs="宋体"/>
          <w:color w:val="203864" w:themeColor="accent5" w:themeShade="80"/>
          <w:sz w:val="44"/>
          <w:szCs w:val="24"/>
        </w:rPr>
      </w:pPr>
    </w:p>
    <w:p>
      <w:pPr>
        <w:pStyle w:val="11"/>
        <w:widowControl/>
        <w:ind w:left="420" w:firstLine="0" w:firstLineChars="0"/>
        <w:jc w:val="right"/>
        <w:rPr>
          <w:rFonts w:hint="eastAsia" w:ascii="宋体" w:hAnsi="宋体" w:eastAsia="宋体" w:cs="宋体"/>
          <w:color w:val="8C1306"/>
          <w:sz w:val="44"/>
          <w:szCs w:val="24"/>
        </w:rPr>
      </w:pPr>
      <w:r>
        <w:rPr>
          <w:rFonts w:hint="eastAsia" w:ascii="宋体" w:hAnsi="宋体" w:eastAsia="宋体" w:cs="宋体"/>
          <w:color w:val="8C1306"/>
          <w:sz w:val="44"/>
          <w:szCs w:val="24"/>
        </w:rPr>
        <w:sym w:font="Wingdings" w:char="F0EE"/>
      </w:r>
      <w:r>
        <w:rPr>
          <w:rFonts w:hint="eastAsia" w:ascii="宋体" w:hAnsi="宋体" w:eastAsia="宋体" w:cs="宋体"/>
          <w:color w:val="8C1306"/>
          <w:sz w:val="44"/>
          <w:szCs w:val="24"/>
        </w:rPr>
        <w:t>目录|Content</w:t>
      </w: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2"/>
          <w:lang w:val="zh-CN"/>
        </w:rPr>
        <w:id w:val="0"/>
      </w:sdtPr>
      <w:sdtEnd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1"/>
          <w:lang w:val="zh-CN"/>
        </w:rPr>
      </w:sdtEndPr>
      <w:sdtContent>
        <w:p>
          <w:pPr>
            <w:pStyle w:val="15"/>
            <w:rPr>
              <w:rFonts w:hint="eastAsia" w:ascii="宋体" w:hAnsi="宋体" w:eastAsia="宋体" w:cs="宋体"/>
            </w:rPr>
          </w:pP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Cs w:val="21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"_Toc1568217"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基本信息|Basic Information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_Toc1568217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"_Toc1568218"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项目导语|Program Lead-in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_Toc1568218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"_Toc1568219"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院校简介|University Introduction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_Toc1568219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"_Toc1568220"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项目特色|Program Key points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_Toc1568220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"_Toc1568221"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项目时段|Program Period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_Toc1568221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"_Toc1568222"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项目师资|Program Faculty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"_Toc1568223"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"_Toc1568224"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项目行程|Program Itinerary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_Toc1568224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"_Toc1568225"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项目费用|Program Fee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_Toc1568225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"_Toc1568226"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申请条件|Program Requirement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_Toc1568226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"_Toc1568227"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报名方式|Sign Up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_Toc1568227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"_Toc1568228"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往期精彩|Program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</w:t>
          </w:r>
          <w:r>
            <w:rPr>
              <w:rStyle w:val="10"/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Retrospect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_Toc1568228 \h </w:instrTex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7</w:t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宋体" w:hAnsi="宋体" w:eastAsia="宋体" w:cs="宋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Cs w:val="21"/>
            </w:rPr>
          </w:pPr>
          <w:r>
            <w:rPr>
              <w:rFonts w:hint="eastAsia" w:ascii="宋体" w:hAnsi="宋体" w:eastAsia="宋体" w:cs="宋体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pStyle w:val="11"/>
        <w:widowControl/>
        <w:spacing w:line="400" w:lineRule="exact"/>
        <w:ind w:left="420" w:firstLine="0" w:firstLineChars="0"/>
        <w:jc w:val="left"/>
        <w:rPr>
          <w:rFonts w:hint="eastAsia" w:ascii="宋体" w:hAnsi="宋体" w:eastAsia="宋体" w:cs="宋体"/>
          <w:color w:val="203864" w:themeColor="accent5" w:themeShade="80"/>
          <w:sz w:val="24"/>
          <w:szCs w:val="24"/>
        </w:rPr>
      </w:pPr>
    </w:p>
    <w:p>
      <w:pPr>
        <w:pStyle w:val="11"/>
        <w:widowControl/>
        <w:spacing w:line="400" w:lineRule="exact"/>
        <w:ind w:left="420" w:firstLine="0" w:firstLineChars="0"/>
        <w:jc w:val="left"/>
        <w:rPr>
          <w:rFonts w:hint="eastAsia" w:ascii="宋体" w:hAnsi="宋体" w:eastAsia="宋体" w:cs="宋体"/>
          <w:color w:val="203864" w:themeColor="accent5" w:themeShade="80"/>
          <w:sz w:val="24"/>
          <w:szCs w:val="24"/>
        </w:rPr>
      </w:pPr>
    </w:p>
    <w:p>
      <w:pPr>
        <w:rPr>
          <w:rFonts w:hint="eastAsia" w:ascii="宋体" w:hAnsi="宋体" w:eastAsia="宋体" w:cs="宋体"/>
          <w:color w:val="203864" w:themeColor="accent5" w:themeShade="80"/>
          <w:sz w:val="32"/>
          <w:szCs w:val="28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8C1306" w:sz="24" w:space="24"/>
            <w:left w:val="dashDotStroked" w:color="8C1306" w:sz="24" w:space="24"/>
            <w:bottom w:val="dashDotStroked" w:color="8C1306" w:sz="24" w:space="24"/>
            <w:right w:val="dashDotStroked" w:color="8C1306" w:sz="24" w:space="24"/>
          </w:pgBorders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color w:val="8C1306"/>
          <w:sz w:val="40"/>
          <w:szCs w:val="28"/>
        </w:rPr>
      </w:pPr>
      <w:bookmarkStart w:id="2" w:name="_Hlk1031987"/>
      <w:r>
        <w:rPr>
          <w:rFonts w:hint="eastAsia" w:ascii="宋体" w:hAnsi="宋体" w:eastAsia="宋体" w:cs="宋体"/>
          <w:color w:val="8C1306"/>
          <w:sz w:val="40"/>
          <w:szCs w:val="28"/>
        </w:rPr>
        <w:t>日本上智大学</w:t>
      </w:r>
    </w:p>
    <w:p>
      <w:pPr>
        <w:jc w:val="center"/>
        <w:rPr>
          <w:rFonts w:hint="eastAsia" w:ascii="宋体" w:hAnsi="宋体" w:eastAsia="宋体" w:cs="宋体"/>
          <w:color w:val="8C1306"/>
          <w:sz w:val="40"/>
          <w:szCs w:val="28"/>
        </w:rPr>
      </w:pPr>
      <w:r>
        <w:rPr>
          <w:rFonts w:hint="eastAsia" w:ascii="宋体" w:hAnsi="宋体" w:eastAsia="宋体" w:cs="宋体"/>
          <w:color w:val="8C1306"/>
          <w:sz w:val="40"/>
          <w:szCs w:val="28"/>
        </w:rPr>
        <w:t>地球环境学在线短期项</w:t>
      </w:r>
      <w:r>
        <w:rPr>
          <w:rFonts w:hint="eastAsia" w:ascii="宋体" w:hAnsi="宋体" w:eastAsia="宋体" w:cs="宋体"/>
          <w:color w:val="8C1306"/>
          <w:sz w:val="40"/>
          <w:szCs w:val="28"/>
        </w:rPr>
        <w:t>目</w:t>
      </w:r>
      <w:bookmarkEnd w:id="2"/>
    </w:p>
    <w:p>
      <w:pPr>
        <w:jc w:val="center"/>
        <w:rPr>
          <w:rFonts w:hint="eastAsia" w:ascii="宋体" w:hAnsi="宋体" w:eastAsia="宋体" w:cs="宋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</w:t>
      </w:r>
      <w:r>
        <w:rPr>
          <w:rFonts w:hint="eastAsia" w:ascii="宋体" w:hAnsi="宋体" w:eastAsia="宋体" w:cs="宋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21</w:t>
      </w:r>
      <w:r>
        <w:rPr>
          <w:rFonts w:hint="eastAsia" w:ascii="宋体" w:hAnsi="宋体" w:eastAsia="宋体" w:cs="宋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年度招生简章</w:t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3" w:name="_Toc1568217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基本信息|Basic Information</w:t>
      </w:r>
      <w:bookmarkEnd w:id="3"/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项目标题：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日本上智大学地球环境学在线短期项目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上智大学地球环境研究科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上智大学中国联络处</w:t>
      </w:r>
    </w:p>
    <w:p>
      <w:pPr>
        <w:pStyle w:val="11"/>
        <w:spacing w:line="360" w:lineRule="exact"/>
        <w:ind w:left="840" w:firstLine="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4" w:name="_Toc1568218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项目导语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|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Program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Lead-in</w:t>
      </w:r>
      <w:bookmarkEnd w:id="4"/>
    </w:p>
    <w:p>
      <w:pPr>
        <w:spacing w:line="400" w:lineRule="exact"/>
        <w:ind w:left="480" w:leftChars="200"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日本在上世纪</w:t>
      </w:r>
      <w:r>
        <w:rPr>
          <w:rFonts w:hint="eastAsia" w:ascii="宋体" w:hAnsi="宋体" w:eastAsia="宋体" w:cs="宋体"/>
        </w:rPr>
        <w:t>70-80年代，也曾经面临过经济发展与环境恶化的矛盾。今天日本已经成为全球公认的环境资源保护最好的国家之一。在再生资源、清洁能源以及垃圾处理等方面都走在了世界前列。日本的很多经验与做法都值得中国学习借鉴。</w:t>
      </w:r>
    </w:p>
    <w:p>
      <w:pPr>
        <w:spacing w:line="400" w:lineRule="exact"/>
        <w:ind w:left="480" w:leftChars="200"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本项目将依托上智大学研究生院地球环境研究科，</w:t>
      </w:r>
      <w:r>
        <w:rPr>
          <w:rFonts w:hint="eastAsia" w:ascii="宋体" w:hAnsi="宋体" w:eastAsia="宋体" w:cs="宋体"/>
        </w:rPr>
        <w:t>围绕主题“来自地球环境最前线的邀请”，</w:t>
      </w:r>
      <w:r>
        <w:rPr>
          <w:rFonts w:hint="eastAsia" w:ascii="宋体" w:hAnsi="宋体" w:eastAsia="宋体" w:cs="宋体"/>
        </w:rPr>
        <w:t>通过</w:t>
      </w:r>
      <w:r>
        <w:rPr>
          <w:rFonts w:hint="eastAsia" w:ascii="宋体" w:hAnsi="宋体" w:eastAsia="宋体" w:cs="宋体"/>
        </w:rPr>
        <w:t>线上</w:t>
      </w:r>
      <w:r>
        <w:rPr>
          <w:rFonts w:hint="eastAsia" w:ascii="宋体" w:hAnsi="宋体" w:eastAsia="宋体" w:cs="宋体"/>
        </w:rPr>
        <w:t>授课</w:t>
      </w:r>
      <w:r>
        <w:rPr>
          <w:rFonts w:hint="eastAsia" w:ascii="宋体" w:hAnsi="宋体" w:eastAsia="宋体" w:cs="宋体"/>
        </w:rPr>
        <w:t>的形式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</w:rPr>
        <w:t>同时增加分组讨论的形式、来代替现地调研。计划邀请地环研究科的日本学生或者留学生一起参与，介绍案例，共同讨论。通过此次在线学习的课程</w:t>
      </w:r>
      <w:r>
        <w:rPr>
          <w:rFonts w:hint="eastAsia" w:ascii="宋体" w:hAnsi="宋体" w:eastAsia="宋体" w:cs="宋体"/>
        </w:rPr>
        <w:t>，让学生对日本</w:t>
      </w:r>
      <w:r>
        <w:rPr>
          <w:rFonts w:hint="eastAsia" w:ascii="宋体" w:hAnsi="宋体" w:eastAsia="宋体" w:cs="宋体"/>
          <w:lang w:val="en-US" w:eastAsia="zh-CN"/>
        </w:rPr>
        <w:t>环境</w:t>
      </w:r>
      <w:r>
        <w:rPr>
          <w:rFonts w:hint="eastAsia" w:ascii="宋体" w:hAnsi="宋体" w:eastAsia="宋体" w:cs="宋体"/>
        </w:rPr>
        <w:t>资源的历史及现状有切身的清楚的认识。并通过</w:t>
      </w:r>
      <w:r>
        <w:rPr>
          <w:rFonts w:hint="eastAsia" w:ascii="宋体" w:hAnsi="宋体" w:eastAsia="宋体" w:cs="宋体"/>
        </w:rPr>
        <w:t>分组讨论</w:t>
      </w:r>
      <w:r>
        <w:rPr>
          <w:rFonts w:hint="eastAsia" w:ascii="宋体" w:hAnsi="宋体" w:eastAsia="宋体" w:cs="宋体"/>
        </w:rPr>
        <w:t>模式，增强学生学习、沟通的能力，以及国际化的思维。</w:t>
      </w:r>
    </w:p>
    <w:p>
      <w:pPr>
        <w:pStyle w:val="11"/>
        <w:spacing w:line="360" w:lineRule="exact"/>
        <w:ind w:left="840" w:firstLine="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5" w:name="_Toc1568219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院校简介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|University Introduction</w:t>
      </w:r>
      <w:bookmarkEnd w:id="5"/>
    </w:p>
    <w:p>
      <w:pPr>
        <w:spacing w:line="400" w:lineRule="exact"/>
        <w:ind w:left="480" w:leftChars="200" w:firstLine="480" w:firstLineChars="200"/>
        <w:rPr>
          <w:rFonts w:hint="eastAsia" w:ascii="宋体" w:hAnsi="宋体" w:eastAsia="宋体" w:cs="宋体"/>
        </w:rPr>
      </w:pPr>
      <w:bookmarkStart w:id="6" w:name="_Toc1568220"/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1168400</wp:posOffset>
                </wp:positionV>
                <wp:extent cx="2762250" cy="2526665"/>
                <wp:effectExtent l="0" t="0" r="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8085" y="8365490"/>
                          <a:ext cx="2762250" cy="2526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Calibri" w:hAnsi="Calibri" w:eastAsia="黑体" w:cs="Calibri"/>
                              </w:rPr>
                              <w:drawing>
                                <wp:inline distT="0" distB="0" distL="114300" distR="114300">
                                  <wp:extent cx="2482850" cy="1647825"/>
                                  <wp:effectExtent l="0" t="0" r="12700" b="9525"/>
                                  <wp:docPr id="7" name="图片 7" descr="上智大学建筑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上智大学建筑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05pt;margin-top:92pt;height:198.95pt;width:217.5pt;z-index:251658240;mso-width-relative:page;mso-height-relative:page;" fillcolor="#FFFFFF [3201]" filled="t" stroked="f" coordsize="21600,21600" o:gfxdata="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ZnUwXVAAAADAEAAA8AAAAAAAAAAQAgAAAAIgAAAGRy&#10;cy9kb3ducmV2LnhtbFBLAQIUABQAAAAIAIdO4kDE9VEvQQIAAE4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Calibri" w:hAnsi="Calibri" w:eastAsia="黑体" w:cs="Calibri"/>
                        </w:rPr>
                        <w:drawing>
                          <wp:inline distT="0" distB="0" distL="114300" distR="114300">
                            <wp:extent cx="2482850" cy="1647825"/>
                            <wp:effectExtent l="0" t="0" r="12700" b="9525"/>
                            <wp:docPr id="7" name="图片 7" descr="上智大学建筑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上智大学建筑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w:t>上智大学（</w:t>
      </w:r>
      <w:r>
        <w:rPr>
          <w:rFonts w:hint="eastAsia" w:ascii="宋体" w:hAnsi="宋体" w:eastAsia="宋体" w:cs="宋体"/>
        </w:rPr>
        <w:t>Sophia University）于1913</w:t>
      </w:r>
      <w:r>
        <w:rPr>
          <w:rFonts w:hint="eastAsia" w:ascii="宋体" w:hAnsi="宋体" w:eastAsia="宋体" w:cs="宋体"/>
          <w:lang w:val="en-US" w:eastAsia="zh-CN"/>
        </w:rPr>
        <w:t>年</w:t>
      </w:r>
      <w:r>
        <w:rPr>
          <w:rFonts w:hint="eastAsia" w:ascii="宋体" w:hAnsi="宋体" w:eastAsia="宋体" w:cs="宋体"/>
        </w:rPr>
        <w:t>创建，位于东京的中心地段。许多跨国公司的办公楼都在上智大学的步行范围之内。上智大学治学不分人种国籍，旨在提升高度国际性的教育课程基础，并致力于培养学生成为能为他人贡献的全球化人才，毕业学生多活跃</w:t>
      </w:r>
      <w:r>
        <w:rPr>
          <w:rFonts w:hint="eastAsia" w:ascii="宋体" w:hAnsi="宋体" w:eastAsia="宋体" w:cs="宋体"/>
          <w:lang w:val="en-US" w:eastAsia="zh-CN"/>
        </w:rPr>
        <w:t>于</w:t>
      </w:r>
      <w:r>
        <w:rPr>
          <w:rFonts w:hint="eastAsia" w:ascii="宋体" w:hAnsi="宋体" w:eastAsia="宋体" w:cs="宋体"/>
        </w:rPr>
        <w:t>国际机构、NGO</w:t>
      </w:r>
      <w:r>
        <w:rPr>
          <w:rFonts w:hint="eastAsia" w:ascii="宋体" w:hAnsi="宋体" w:eastAsia="宋体" w:cs="宋体"/>
        </w:rPr>
        <w:t>・</w:t>
      </w:r>
      <w:r>
        <w:rPr>
          <w:rFonts w:hint="eastAsia" w:ascii="宋体" w:hAnsi="宋体" w:eastAsia="宋体" w:cs="宋体"/>
        </w:rPr>
        <w:t>NPO乃至经济界的广阔领域。</w:t>
      </w:r>
    </w:p>
    <w:p>
      <w:pPr>
        <w:spacing w:line="400" w:lineRule="exact"/>
        <w:ind w:left="480" w:leftChars="200" w:firstLine="480" w:firstLineChars="200"/>
        <w:rPr>
          <w:rFonts w:hint="eastAsia" w:ascii="宋体" w:hAnsi="宋体" w:eastAsia="宋体" w:cs="宋体"/>
        </w:rPr>
      </w:pPr>
    </w:p>
    <w:p>
      <w:pPr>
        <w:spacing w:line="400" w:lineRule="exact"/>
        <w:ind w:left="480" w:leftChars="200"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为促进全球化进程，上智大学与</w:t>
      </w:r>
      <w:r>
        <w:rPr>
          <w:rFonts w:hint="eastAsia" w:ascii="宋体" w:hAnsi="宋体" w:eastAsia="宋体" w:cs="宋体"/>
        </w:rPr>
        <w:t>69个国家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和地区的326所交换留学协定校和学术交流协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校签订了交流协议。是日本文部科学省2014年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从全日本约780所大学中选出的37所国际化据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点整备事业大学之一。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项目特色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|Program Key points</w:t>
      </w:r>
      <w:bookmarkEnd w:id="6"/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项目课程：本项目由上智大学大学院地球环境研究科统筹安排</w:t>
      </w:r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项目成果：项目结束时，学生将获得上智大学提供的官方结业证书</w:t>
      </w:r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项目互动：有机会与上智大学地环研究科学生一起交流学习</w:t>
      </w:r>
    </w:p>
    <w:p>
      <w:pPr>
        <w:pStyle w:val="11"/>
        <w:widowControl/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65425" cy="2188210"/>
            <wp:effectExtent l="0" t="0" r="15875" b="2540"/>
            <wp:docPr id="11" name="图片 11" descr="1602564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25649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86075" cy="2170430"/>
            <wp:effectExtent l="0" t="0" r="9525" b="1270"/>
            <wp:docPr id="16" name="图片 16" descr="1602565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256543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18"/>
          <w:szCs w:val="20"/>
        </w:rPr>
        <w:t>（往期线下课程，黄教授带学生做实地调研）</w:t>
      </w:r>
    </w:p>
    <w:p>
      <w:pPr>
        <w:pStyle w:val="11"/>
        <w:widowControl/>
        <w:spacing w:line="400" w:lineRule="exact"/>
        <w:ind w:firstLine="0" w:firstLineChars="0"/>
        <w:jc w:val="left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7" w:name="_Toc1568221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项目时段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|Program Period</w:t>
      </w:r>
      <w:bookmarkEnd w:id="7"/>
    </w:p>
    <w:p>
      <w:pPr>
        <w:pStyle w:val="11"/>
        <w:spacing w:line="400" w:lineRule="exact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8C1306"/>
        </w:rPr>
        <w:t>（一）项目时间：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年8月3日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至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日</w:t>
      </w:r>
    </w:p>
    <w:p>
      <w:pPr>
        <w:pStyle w:val="11"/>
        <w:spacing w:line="400" w:lineRule="exact"/>
        <w:ind w:left="420" w:firstLine="0" w:firstLineChars="0"/>
        <w:rPr>
          <w:rFonts w:hint="eastAsia" w:ascii="宋体" w:hAnsi="宋体" w:eastAsia="宋体" w:cs="宋体"/>
          <w:color w:val="8C1306"/>
        </w:rPr>
      </w:pPr>
      <w:r>
        <w:rPr>
          <w:rFonts w:hint="eastAsia" w:ascii="宋体" w:hAnsi="宋体" w:eastAsia="宋体" w:cs="宋体"/>
          <w:color w:val="8C1306"/>
        </w:rPr>
        <w:t>（二）项目截止：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1年7月10日</w:t>
      </w:r>
    </w:p>
    <w:p>
      <w:pPr>
        <w:rPr>
          <w:rFonts w:hint="eastAsia" w:ascii="宋体" w:hAnsi="宋体" w:eastAsia="宋体" w:cs="宋体"/>
          <w:sz w:val="20"/>
        </w:rPr>
      </w:pPr>
      <w:r>
        <w:rPr>
          <w:rFonts w:hint="eastAsia" w:ascii="宋体" w:hAnsi="宋体" w:eastAsia="宋体" w:cs="宋体"/>
          <w:sz w:val="20"/>
        </w:rPr>
        <w:br w:type="page"/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8" w:name="_Toc1568222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项目师资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|Program Faculty</w:t>
      </w:r>
      <w:bookmarkEnd w:id="8"/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b/>
        </w:rPr>
        <w:drawing>
          <wp:inline distT="0" distB="0" distL="114300" distR="114300">
            <wp:extent cx="1362075" cy="1609725"/>
            <wp:effectExtent l="0" t="0" r="9525" b="9525"/>
            <wp:docPr id="13" name="图片 13" descr="1602565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256520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</w:rPr>
        <w:t>黄光伟</w:t>
      </w:r>
      <w:r>
        <w:rPr>
          <w:rFonts w:hint="eastAsia" w:ascii="宋体" w:hAnsi="宋体" w:eastAsia="宋体" w:cs="宋体"/>
          <w:b/>
        </w:rPr>
        <w:t xml:space="preserve"> </w:t>
      </w:r>
      <w:r>
        <w:rPr>
          <w:rFonts w:hint="eastAsia" w:ascii="宋体" w:hAnsi="宋体" w:eastAsia="宋体" w:cs="宋体"/>
        </w:rPr>
        <w:t>上智大学地球环境学研究科教授</w:t>
      </w:r>
    </w:p>
    <w:p>
      <w:pPr>
        <w:spacing w:line="4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毕业于复旦大学，获得东京大学博士学位，专业为水环境学。研究河川湖沼水脉，水域生态，</w:t>
      </w:r>
    </w:p>
    <w:p>
      <w:pPr>
        <w:snapToGrid w:val="0"/>
        <w:ind w:left="839"/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治水</w:t>
      </w:r>
      <w:r>
        <w:rPr>
          <w:rFonts w:hint="eastAsia" w:ascii="宋体" w:hAnsi="宋体" w:eastAsia="宋体" w:cs="宋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及水质污染，数值解析及现地观测，从事了广泛的水关联的研究活动近几年在国际杂志上</w:t>
      </w: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napToGrid w:val="0"/>
        <w:ind w:left="839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发表的论文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授课内容：流域综合管理，讲解探究水利用和水环境保全两方面的事例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近年论文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Enhancing Dialogue between Flood Risk Management and Road Engineering Sectors for Flood Risk Reduction, Sustainability, 10(6), 1773-1788, 2018.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Interactive effects of environmental factors on phytoplankton communities and benthic nutrient interactions in a shallow lake and adjoining rivers in China, Science of The Total Environment, Vol.619-620, 1661-1672, 2018.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Enhancing the discussion of alternatives in EIA using principle component analysis leads to improved public involvement, Environmental Impact Assessment Review, 65, 63-74, 2017.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Huang, G.W.: From Water-Constrained to Water-Driven Sustainable Development—A Case of Water Policy Impact Evaluation, Sustainability, 7, 8950-8964, 2015.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Multi-angle views on effect of river regulation on breeding habitat of Little Tern, Int. J. Environment and Pollution, Vol. 58, No. 3, 172-186, 2015.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Does a Kuznets Curve Apply to Flood Fatality?-A Holistic Study for China and Japan, Natural Hazards, Vol. 71, Issue 3, 2029-2042, 2014</w:t>
      </w:r>
    </w:p>
    <w:p>
      <w:pPr>
        <w:pStyle w:val="11"/>
        <w:widowControl/>
        <w:numPr>
          <w:ilvl w:val="0"/>
          <w:numId w:val="4"/>
        </w:numPr>
        <w:spacing w:line="400" w:lineRule="exact"/>
        <w:ind w:left="1009" w:hanging="17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 Comparative Study on Flood Management in China and Japan, Water, 6(9), 2821-2829, 2014.</w:t>
      </w:r>
    </w:p>
    <w:p>
      <w:pPr>
        <w:pStyle w:val="11"/>
        <w:widowControl/>
        <w:spacing w:line="400" w:lineRule="exact"/>
        <w:ind w:firstLine="0" w:firstLineChars="0"/>
        <w:jc w:val="left"/>
        <w:rPr>
          <w:rFonts w:hint="eastAsia" w:ascii="宋体" w:hAnsi="宋体" w:eastAsia="宋体" w:cs="宋体"/>
        </w:rPr>
      </w:pPr>
    </w:p>
    <w:p>
      <w:pPr>
        <w:pStyle w:val="11"/>
        <w:widowControl/>
        <w:spacing w:line="400" w:lineRule="exact"/>
        <w:ind w:firstLine="0" w:firstLineChars="0"/>
        <w:jc w:val="left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 xml:space="preserve">  </w:t>
      </w:r>
      <w:r>
        <w:rPr>
          <w:rFonts w:hint="eastAsia" w:ascii="宋体" w:hAnsi="宋体" w:eastAsia="宋体" w:cs="宋体"/>
          <w:b/>
        </w:rPr>
        <w:drawing>
          <wp:inline distT="0" distB="0" distL="114300" distR="114300">
            <wp:extent cx="1371600" cy="1581150"/>
            <wp:effectExtent l="0" t="0" r="0" b="0"/>
            <wp:docPr id="14" name="图片 14" descr="16025652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256522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</w:rPr>
        <w:t>安·麦克唐纳</w:t>
      </w:r>
      <w:r>
        <w:rPr>
          <w:rFonts w:hint="eastAsia" w:ascii="宋体" w:hAnsi="宋体" w:eastAsia="宋体" w:cs="宋体"/>
        </w:rPr>
        <w:t xml:space="preserve"> 上智大学地球环境学研究科教授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毕业于不列颠哥伦比亚大学，曾为清水弘文堂书房的作家，出版过13本日文著作。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关注研究领域：环境史，全球环境政策。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授课内容：环境史，综合环境政策，全球环境政策</w:t>
      </w:r>
    </w:p>
    <w:p>
      <w:pPr>
        <w:snapToGrid w:val="0"/>
        <w:rPr>
          <w:rFonts w:hint="eastAsia" w:ascii="宋体" w:hAnsi="宋体" w:eastAsia="宋体" w:cs="宋体"/>
          <w:color w:val="000000" w:themeColor="text1"/>
          <w:kern w:val="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研究成果：致力于政策制定的研究和野外实践相结合，和参与生态系统评估的研究人员，</w:t>
      </w:r>
      <w:r>
        <w:rPr>
          <w:rFonts w:hint="eastAsia" w:ascii="宋体" w:hAnsi="宋体" w:eastAsia="宋体" w:cs="宋体"/>
          <w:color w:val="000000" w:themeColor="text1"/>
          <w:kern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宋体" w:hAnsi="宋体" w:eastAsia="宋体" w:cs="宋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联合国环境公约相关组织有密切合作。在生物多样性条约</w:t>
      </w:r>
      <w:r>
        <w:rPr>
          <w:rFonts w:hint="eastAsia" w:ascii="宋体" w:hAnsi="宋体" w:eastAsia="宋体" w:cs="宋体"/>
          <w:color w:val="000000" w:themeColor="text1"/>
          <w:kern w:val="24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eastAsia="宋体" w:cs="宋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10回缔约国会议（COP10）上，与生物多样性公约秘书处共同创立了可持续海洋提议。</w:t>
      </w:r>
    </w:p>
    <w:p>
      <w:pPr>
        <w:snapToGrid w:val="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</w:rPr>
        <w:t xml:space="preserve">    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 xml:space="preserve">  </w:t>
      </w:r>
      <w:r>
        <w:rPr>
          <w:rFonts w:hint="eastAsia" w:ascii="宋体" w:hAnsi="宋体" w:eastAsia="宋体" w:cs="宋体"/>
          <w:b/>
        </w:rPr>
        <w:t xml:space="preserve">  </w:t>
      </w:r>
      <w:r>
        <w:rPr>
          <w:rFonts w:hint="eastAsia" w:ascii="宋体" w:hAnsi="宋体" w:eastAsia="宋体" w:cs="宋体"/>
          <w:b/>
        </w:rPr>
        <w:drawing>
          <wp:inline distT="0" distB="0" distL="114300" distR="114300">
            <wp:extent cx="1219200" cy="1562100"/>
            <wp:effectExtent l="0" t="0" r="0" b="0"/>
            <wp:docPr id="15" name="图片 15" descr="16025652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256524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</w:rPr>
        <w:t>铃木 政史</w:t>
      </w:r>
      <w:r>
        <w:rPr>
          <w:rFonts w:hint="eastAsia" w:ascii="宋体" w:hAnsi="宋体" w:eastAsia="宋体" w:cs="宋体"/>
          <w:b/>
        </w:rPr>
        <w:t xml:space="preserve">  </w:t>
      </w:r>
      <w:r>
        <w:rPr>
          <w:rFonts w:hint="eastAsia" w:ascii="宋体" w:hAnsi="宋体" w:eastAsia="宋体" w:cs="宋体"/>
        </w:rPr>
        <w:t>上智大学地球环境学研究科教授</w:t>
      </w:r>
    </w:p>
    <w:p>
      <w:pPr>
        <w:spacing w:line="400" w:lineRule="exact"/>
        <w:rPr>
          <w:rFonts w:hint="eastAsia" w:ascii="宋体" w:hAnsi="宋体" w:eastAsia="宋体" w:cs="宋体"/>
        </w:rPr>
      </w:pP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取得庆应义塾大学及哥伦比亚大学双修士学位，获得荷兰鹿特丹大学博士称号。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关注研究领域：企业环境战略，清洁能源战略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授课内容：可持续性经营战略，国际环境条约，能源和环境技术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论文：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Analysis of Citizens’ Priorities over Sustainable Development Goals in Japan: Evidence from a Questionnaire Survey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 Book Review of Business and Climate Change Governance: South Africa in Comparative Perspective</w:t>
      </w:r>
    </w:p>
    <w:p>
      <w:pPr>
        <w:spacing w:line="400" w:lineRule="exact"/>
        <w:rPr>
          <w:rFonts w:hint="eastAsia" w:ascii="宋体" w:hAnsi="宋体" w:eastAsia="宋体" w:cs="宋体"/>
          <w:lang w:eastAsia="ja-JP"/>
        </w:rPr>
      </w:pPr>
    </w:p>
    <w:p>
      <w:pPr>
        <w:rPr>
          <w:rFonts w:hint="eastAsia" w:ascii="宋体" w:hAnsi="宋体" w:eastAsia="宋体" w:cs="宋体"/>
          <w:color w:val="8C1306"/>
          <w:sz w:val="30"/>
          <w:szCs w:val="30"/>
          <w:lang w:eastAsia="ja-JP"/>
        </w:rPr>
      </w:pPr>
      <w:bookmarkStart w:id="9" w:name="_Toc1568224"/>
      <w:r>
        <w:rPr>
          <w:rFonts w:hint="eastAsia" w:ascii="宋体" w:hAnsi="宋体" w:eastAsia="宋体" w:cs="宋体"/>
          <w:color w:val="8C1306"/>
          <w:sz w:val="30"/>
          <w:szCs w:val="30"/>
          <w:lang w:eastAsia="ja-JP"/>
        </w:rPr>
        <w:t xml:space="preserve">    </w:t>
      </w:r>
    </w:p>
    <w:p>
      <w:pPr>
        <w:rPr>
          <w:rFonts w:hint="eastAsia" w:ascii="宋体" w:hAnsi="宋体" w:eastAsia="宋体" w:cs="宋体"/>
          <w:color w:val="8C1306"/>
          <w:sz w:val="30"/>
          <w:szCs w:val="30"/>
        </w:rPr>
      </w:pPr>
      <w:r>
        <w:rPr>
          <w:rFonts w:hint="eastAsia" w:ascii="宋体" w:hAnsi="宋体" w:eastAsia="宋体" w:cs="宋体"/>
          <w:color w:val="8C1306"/>
          <w:sz w:val="30"/>
          <w:szCs w:val="30"/>
          <w:lang w:eastAsia="ja-JP"/>
        </w:rPr>
        <w:t xml:space="preserve">     </w:t>
      </w:r>
      <w:r>
        <w:rPr>
          <w:rFonts w:hint="eastAsia" w:ascii="宋体" w:hAnsi="宋体" w:eastAsia="宋体" w:cs="宋体"/>
          <w:color w:val="8C1306"/>
          <w:sz w:val="30"/>
          <w:szCs w:val="30"/>
        </w:rPr>
        <w:br w:type="page"/>
      </w:r>
    </w:p>
    <w:p>
      <w:pPr>
        <w:rPr>
          <w:rFonts w:hint="eastAsia" w:ascii="宋体" w:hAnsi="宋体" w:eastAsia="宋体" w:cs="宋体"/>
          <w:color w:val="8C1306"/>
          <w:sz w:val="30"/>
          <w:szCs w:val="30"/>
        </w:rPr>
      </w:pPr>
      <w:r>
        <w:rPr>
          <w:rFonts w:hint="eastAsia" w:ascii="宋体" w:hAnsi="宋体" w:eastAsia="宋体" w:cs="宋体"/>
          <w:color w:val="8C1306"/>
          <w:sz w:val="30"/>
          <w:szCs w:val="30"/>
        </w:rPr>
        <w:t>项目行程|Program</w:t>
      </w:r>
      <w:r>
        <w:rPr>
          <w:rFonts w:hint="eastAsia" w:ascii="宋体" w:hAnsi="宋体" w:eastAsia="宋体" w:cs="宋体"/>
          <w:color w:val="8C130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color w:val="8C1306"/>
          <w:sz w:val="30"/>
          <w:szCs w:val="30"/>
        </w:rPr>
        <w:t>I</w:t>
      </w:r>
      <w:r>
        <w:rPr>
          <w:rFonts w:hint="eastAsia" w:ascii="宋体" w:hAnsi="宋体" w:eastAsia="宋体" w:cs="宋体"/>
          <w:color w:val="8C1306"/>
          <w:sz w:val="30"/>
          <w:szCs w:val="30"/>
        </w:rPr>
        <w:t>tinerary</w:t>
      </w:r>
      <w:bookmarkEnd w:id="9"/>
    </w:p>
    <w:tbl>
      <w:tblPr>
        <w:tblStyle w:val="7"/>
        <w:tblW w:w="5230" w:type="pct"/>
        <w:tblCellSpacing w:w="0" w:type="dxa"/>
        <w:tblInd w:w="-22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49"/>
        <w:gridCol w:w="1290"/>
        <w:gridCol w:w="702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予定时间      （北京时间）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　　　　　　　课程内容（予定）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8月3日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（周二）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13:00-14:20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  <w:lang w:eastAsia="ja-JP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eastAsia="ja-JP"/>
              </w:rPr>
              <w:t>破冰活动・分组、介绍授课教授、课程使用软件系统等说明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:lang w:eastAsia="ja-JP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14:30-16:00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在线课程①：都市和水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/>
              </w:rPr>
              <w:t>环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境的危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/>
              </w:rPr>
              <w:t>机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（往期题目）——黄光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/>
              </w:rPr>
              <w:t>伟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8月4日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（周三）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学生自主学习、课题的完成、预习等。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8月5日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（周四）</w:t>
            </w:r>
          </w:p>
        </w:tc>
        <w:tc>
          <w:tcPr>
            <w:tcW w:w="628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在线课程②：危机时代下的环境问题与企业应对Ⅰ（往期题目）——铃木 政史教授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在线课程③：危机时代下的环境问题与企业应对Ⅱ（往期题目）——铃木 政史教授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8月6日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（周五）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学生自主学习、课题的完成、预习等。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8月7日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（周六）</w:t>
            </w:r>
          </w:p>
        </w:tc>
        <w:tc>
          <w:tcPr>
            <w:tcW w:w="628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在线课程④：危机对应下的环境行政（往期题目）——井上 直己准教授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在线课程⑤：气候变化的危机（往期题目）——井上 直己准教授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8月8日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（周日）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学生自主学习，课题的完成，预习等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8月9日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（周一）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13:00-14:30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在线课程⑥： 危机对应下的海洋环境政策（往期题目）——麦当劳教授　（Anne McDonald）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14:40-16:00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在线课程⑦：湖沼富营养化的危机（往期题目）——黄光伟教授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8月1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11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（周二，三）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学生做最终课题发表准备。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8月1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</w:t>
            </w:r>
          </w:p>
          <w:p>
            <w:pPr>
              <w:pStyle w:val="6"/>
              <w:jc w:val="center"/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（周四）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在线课堂：分组发表；成绩发表；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Hans"/>
              </w:rPr>
              <w:t>导师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点评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eastAsia="zh-Hans"/>
              </w:rPr>
              <w:t>。</w:t>
            </w:r>
          </w:p>
          <w:p>
            <w:pPr>
              <w:pStyle w:val="6"/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</w:rPr>
              <w:t>～修了式～集体合影留念</w:t>
            </w:r>
          </w:p>
        </w:tc>
      </w:tr>
    </w:tbl>
    <w:p>
      <w:pPr>
        <w:spacing w:line="400" w:lineRule="exact"/>
        <w:rPr>
          <w:rFonts w:hint="eastAsia" w:ascii="宋体" w:hAnsi="宋体" w:eastAsia="宋体" w:cs="宋体"/>
          <w:color w:val="2E75B6" w:themeColor="accent1" w:themeShade="BF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*以上为往期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参考，实际存在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部分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调整的可能性。</w:t>
      </w: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10" w:name="_Toc1568225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项目费用|Program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Fee</w:t>
      </w:r>
      <w:bookmarkEnd w:id="10"/>
    </w:p>
    <w:p>
      <w:pPr>
        <w:ind w:firstLine="482" w:firstLineChars="200"/>
        <w:outlineLvl w:val="1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A2231F"/>
        </w:rPr>
        <w:t>3980</w:t>
      </w:r>
      <w:r>
        <w:rPr>
          <w:rFonts w:hint="eastAsia" w:ascii="宋体" w:hAnsi="宋体" w:eastAsia="宋体" w:cs="宋体"/>
          <w:b/>
          <w:color w:val="A2231F"/>
          <w:lang w:eastAsia="ja-JP"/>
        </w:rPr>
        <w:t>元人民币</w:t>
      </w:r>
    </w:p>
    <w:p>
      <w:pPr>
        <w:pStyle w:val="11"/>
        <w:numPr>
          <w:ilvl w:val="0"/>
          <w:numId w:val="5"/>
        </w:numPr>
        <w:spacing w:line="400" w:lineRule="exact"/>
        <w:ind w:firstLineChars="0"/>
        <w:outlineLvl w:val="0"/>
        <w:rPr>
          <w:rFonts w:hint="eastAsia" w:ascii="宋体" w:hAnsi="宋体" w:eastAsia="宋体" w:cs="宋体"/>
          <w:color w:val="A20000"/>
        </w:rPr>
      </w:pPr>
      <w:r>
        <w:rPr>
          <w:rFonts w:hint="eastAsia" w:ascii="宋体" w:hAnsi="宋体" w:eastAsia="宋体" w:cs="宋体"/>
          <w:color w:val="A20000"/>
        </w:rPr>
        <w:t>项目费【包含】</w:t>
      </w:r>
    </w:p>
    <w:p>
      <w:pPr>
        <w:spacing w:line="400" w:lineRule="exact"/>
        <w:ind w:left="960" w:leftChars="40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项目报名费、学费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、证书制作费、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国际邮寄费</w:t>
      </w:r>
    </w:p>
    <w:p>
      <w:pPr>
        <w:pStyle w:val="11"/>
        <w:numPr>
          <w:ilvl w:val="0"/>
          <w:numId w:val="5"/>
        </w:numPr>
        <w:spacing w:line="400" w:lineRule="exact"/>
        <w:ind w:firstLineChars="0"/>
        <w:outlineLvl w:val="0"/>
        <w:rPr>
          <w:rFonts w:hint="eastAsia" w:ascii="宋体" w:hAnsi="宋体" w:eastAsia="宋体" w:cs="宋体"/>
          <w:color w:val="A20000"/>
        </w:rPr>
      </w:pPr>
      <w:r>
        <w:rPr>
          <w:rFonts w:hint="eastAsia" w:ascii="宋体" w:hAnsi="宋体" w:eastAsia="宋体" w:cs="宋体"/>
          <w:color w:val="A20000"/>
        </w:rPr>
        <w:t>项目费【不含】</w:t>
      </w:r>
    </w:p>
    <w:p>
      <w:pPr>
        <w:pStyle w:val="11"/>
        <w:spacing w:line="400" w:lineRule="exact"/>
        <w:ind w:left="840" w:firstLine="0"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Zoom平台使用等其他可能的费用</w:t>
      </w:r>
    </w:p>
    <w:p>
      <w:pPr>
        <w:pStyle w:val="11"/>
        <w:spacing w:line="400" w:lineRule="exact"/>
        <w:ind w:left="840" w:firstLine="0"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spacing w:line="400" w:lineRule="exact"/>
        <w:ind w:firstLine="0"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11" w:name="_Toc1568226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申请条件|Program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Requirement</w:t>
      </w:r>
      <w:bookmarkEnd w:id="11"/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全日制在校学生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环境相关专业学科学生，具有能听懂全英文授课的能力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对日本文化有浓厚兴趣的学生</w:t>
      </w:r>
    </w:p>
    <w:p>
      <w:pPr>
        <w:rPr>
          <w:rFonts w:hint="eastAsia" w:ascii="宋体" w:hAnsi="宋体" w:eastAsia="宋体" w:cs="宋体"/>
          <w:color w:val="2E75B6" w:themeColor="accent1" w:themeShade="BF"/>
        </w:rPr>
      </w:pPr>
    </w:p>
    <w:p>
      <w:pPr>
        <w:pStyle w:val="11"/>
        <w:spacing w:line="400" w:lineRule="exact"/>
        <w:ind w:left="840" w:firstLine="0" w:firstLineChars="0"/>
        <w:jc w:val="left"/>
        <w:rPr>
          <w:rFonts w:hint="eastAsia" w:ascii="宋体" w:hAnsi="宋体" w:eastAsia="宋体" w:cs="宋体"/>
          <w:color w:val="8C1306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12" w:name="_Toc1568227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报名方式|Sign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Up</w:t>
      </w:r>
      <w:bookmarkEnd w:id="12"/>
    </w:p>
    <w:p>
      <w:pPr>
        <w:pStyle w:val="11"/>
        <w:numPr>
          <w:ilvl w:val="0"/>
          <w:numId w:val="7"/>
        </w:numPr>
        <w:spacing w:line="400" w:lineRule="exact"/>
        <w:ind w:left="480" w:leftChars="20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"http://apply.xf-world.org/"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0"/>
          <w:rFonts w:hint="eastAsia" w:ascii="宋体" w:hAnsi="宋体" w:eastAsia="宋体" w:cs="宋体"/>
          <w:szCs w:val="21"/>
        </w:rPr>
        <w:t>http://apply.xf-world.org/</w:t>
      </w:r>
      <w:r>
        <w:rPr>
          <w:rStyle w:val="10"/>
          <w:rFonts w:hint="eastAsia" w:ascii="宋体" w:hAnsi="宋体" w:eastAsia="宋体" w:cs="宋体"/>
          <w:szCs w:val="21"/>
        </w:rPr>
        <w:fldChar w:fldCharType="end"/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3" w:name="_Hlk1028925"/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报名咨询：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sophia@japan-china.org</w:t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欲了解更多官方项目信息，请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登陆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"http://www.sophia-china.org/"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0"/>
          <w:rFonts w:hint="eastAsia" w:ascii="宋体" w:hAnsi="宋体" w:eastAsia="宋体" w:cs="宋体"/>
          <w:szCs w:val="21"/>
        </w:rPr>
        <w:t>http://www.sophia-china.org/</w:t>
      </w:r>
      <w:r>
        <w:rPr>
          <w:rStyle w:val="10"/>
          <w:rFonts w:hint="eastAsia" w:ascii="宋体" w:hAnsi="宋体" w:eastAsia="宋体" w:cs="宋体"/>
          <w:szCs w:val="21"/>
        </w:rPr>
        <w:fldChar w:fldCharType="end"/>
      </w:r>
    </w:p>
    <w:p>
      <w:pPr>
        <w:spacing w:line="400" w:lineRule="exact"/>
        <w:ind w:left="840"/>
        <w:jc w:val="righ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</w:t>
      </w:r>
      <w:bookmarkStart w:id="17" w:name="_GoBack"/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外</w:t>
      </w:r>
      <w:bookmarkEnd w:id="17"/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事处、各院系或其他学校指定部门</w:t>
      </w:r>
      <w:bookmarkEnd w:id="13"/>
    </w:p>
    <w:p>
      <w:pPr>
        <w:spacing w:line="360" w:lineRule="exact"/>
        <w:ind w:left="84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宋体" w:hAnsi="宋体" w:eastAsia="宋体" w:cs="宋体"/>
          <w:b w:val="0"/>
          <w:color w:val="8C1306"/>
          <w:sz w:val="30"/>
          <w:szCs w:val="30"/>
        </w:rPr>
      </w:pPr>
      <w:bookmarkStart w:id="14" w:name="_Toc1568228"/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往期精彩|Program</w:t>
      </w:r>
      <w:r>
        <w:rPr>
          <w:rFonts w:hint="eastAsia" w:ascii="宋体" w:hAnsi="宋体" w:eastAsia="宋体" w:cs="宋体"/>
          <w:color w:val="8C1306"/>
        </w:rPr>
        <w:t xml:space="preserve"> </w:t>
      </w:r>
      <w:r>
        <w:rPr>
          <w:rFonts w:hint="eastAsia" w:ascii="宋体" w:hAnsi="宋体" w:eastAsia="宋体" w:cs="宋体"/>
          <w:b w:val="0"/>
          <w:color w:val="8C1306"/>
          <w:sz w:val="30"/>
          <w:szCs w:val="30"/>
        </w:rPr>
        <w:t>Retrospect</w:t>
      </w:r>
      <w:bookmarkEnd w:id="14"/>
    </w:p>
    <w:p>
      <w:pPr>
        <w:spacing w:line="400" w:lineRule="exact"/>
        <w:ind w:firstLine="240" w:firstLineChars="1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5" w:name="_Hlk1030331"/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上智大学上课的时间是很短的，但是我从短短的课程中依旧学到了许多东西。给我印象最深的两位老师，一位是黄光伟老师，还有一位是冈崎老师。黄老师所讲的流域管理，是我在国内未曾听闻过的。虽然我学习的是环境工程，但是我们专业所关注的还停留在具体的事物上。这应该也和我们国家的发展阶段有关吧，毕竟国内的水体污染还是主要矛盾，宏观上的管理整个流域还属于次要矛盾。同时，因为我的家乡在河南。众所周知，母亲河黄河在我们河南令人又爱又恨。历史上，她所携带的泥沙形成了如今的黄淮平原，养育了一方人民。同时，她时不时的改道，也给当地人民带来巨大的苦难。如今，在开封，黄河河床的海拔高度早已超过开封铁塔的顶部，万一某天黄河大堤出现意外，又是一场惨剧。所以，我对黄老师的课程：综合流域管理、了解河流的变化、从根本上防止洪水，十分感兴趣。</w:t>
      </w:r>
      <w:bookmarkEnd w:id="15"/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righ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pgBorders w:offsetFrom="page">
        <w:top w:val="dashDotStroked" w:color="8C1306" w:sz="24" w:space="24"/>
        <w:left w:val="dashDotStroked" w:color="8C1306" w:sz="24" w:space="24"/>
        <w:bottom w:val="dashDotStroked" w:color="8C1306" w:sz="24" w:space="24"/>
        <w:right w:val="dashDotStroked" w:color="8C1306" w:sz="24" w:space="24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游明朝">
    <w:altName w:val="MS PMincho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left" w:pos="5850"/>
      </w:tabs>
      <w:rPr>
        <w:rFonts w:ascii="Times New Roman" w:hAnsi="Times New Roman" w:cs="Times New Roman"/>
        <w:b/>
      </w:rPr>
    </w:pPr>
    <w:r>
      <w:tab/>
    </w:r>
    <w:r>
      <w:tab/>
    </w:r>
    <w:sdt>
      <w:sdtPr>
        <w:id w:val="375362699"/>
      </w:sdtPr>
      <w:sdtEndPr>
        <w:rPr>
          <w:rFonts w:ascii="Times New Roman" w:hAnsi="Times New Roman" w:cs="Times New Roman"/>
          <w:b/>
        </w:rPr>
      </w:sdtEndPr>
      <w:sdtContent>
        <w:r>
          <w:rPr>
            <w:rFonts w:ascii="Times New Roman" w:hAnsi="Times New Roman" w:cs="Times New Roman"/>
            <w:b/>
          </w:rPr>
          <w:fldChar w:fldCharType="begin"/>
        </w:r>
        <w:r>
          <w:rPr>
            <w:rFonts w:ascii="Times New Roman" w:hAnsi="Times New Roman" w:cs="Times New Roman"/>
            <w:b/>
          </w:rPr>
          <w:instrText xml:space="preserve">PAGE   \* MERGEFORMAT</w:instrText>
        </w:r>
        <w:r>
          <w:rPr>
            <w:rFonts w:ascii="Times New Roman" w:hAnsi="Times New Roman" w:cs="Times New Roman"/>
            <w:b/>
          </w:rPr>
          <w:fldChar w:fldCharType="separate"/>
        </w:r>
        <w:r>
          <w:rPr>
            <w:rFonts w:ascii="Times New Roman" w:hAnsi="Times New Roman" w:cs="Times New Roman"/>
            <w:b/>
            <w:lang w:val="zh-CN"/>
          </w:rPr>
          <w:t>1</w:t>
        </w:r>
        <w:r>
          <w:rPr>
            <w:rFonts w:ascii="Times New Roman" w:hAnsi="Times New Roman" w:cs="Times New Roman"/>
            <w:b/>
          </w:rPr>
          <w:fldChar w:fldCharType="end"/>
        </w:r>
      </w:sdtContent>
    </w:sdt>
    <w:r>
      <w:rPr>
        <w:rFonts w:ascii="Times New Roman" w:hAnsi="Times New Roman" w:cs="Times New Roman"/>
        <w:b/>
      </w:rPr>
      <w:tab/>
    </w:r>
  </w:p>
  <w:p>
    <w:pPr>
      <w:pStyle w:val="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1419225" cy="445770"/>
          <wp:effectExtent l="0" t="0" r="0" b="0"/>
          <wp:wrapNone/>
          <wp:docPr id="3" name="图片 3" descr="C:\Users\tan\Desktop\01 Logo图片\01 企业Logo（白底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tan\Desktop\01 Logo图片\01 企业Logo（白底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70" cy="446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方正姚体"/>
        <w:sz w:val="18"/>
        <w:szCs w:val="18"/>
      </w:rPr>
    </w:pPr>
    <w:r>
      <w:rPr>
        <w:rFonts w:hint="eastAsia" w:eastAsia="方正姚体"/>
        <w:sz w:val="18"/>
        <w:szCs w:val="18"/>
      </w:rPr>
      <w:t>日本上智大学地球环境学在线短期项目·</w:t>
    </w:r>
    <w:r>
      <w:rPr>
        <w:rFonts w:eastAsia="方正姚体"/>
        <w:sz w:val="18"/>
        <w:szCs w:val="18"/>
      </w:rPr>
      <w:t>20</w:t>
    </w:r>
    <w:r>
      <w:rPr>
        <w:rFonts w:hint="eastAsia" w:eastAsia="方正姚体"/>
        <w:sz w:val="18"/>
        <w:szCs w:val="18"/>
      </w:rPr>
      <w:t>21</w:t>
    </w:r>
    <w:r>
      <w:rPr>
        <w:rFonts w:eastAsia="方正姚体"/>
        <w:sz w:val="18"/>
        <w:szCs w:val="18"/>
      </w:rPr>
      <w:t>年度招生简章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方正姚体"/>
        <w:sz w:val="18"/>
        <w:szCs w:val="18"/>
      </w:rPr>
    </w:pPr>
    <w:bookmarkStart w:id="16" w:name="_Hlk1565158"/>
    <w:r>
      <w:rPr>
        <w:rFonts w:hint="eastAsia" w:eastAsia="方正姚体"/>
        <w:sz w:val="18"/>
        <w:szCs w:val="18"/>
      </w:rPr>
      <w:t>日本上智大学</w:t>
    </w:r>
    <w:bookmarkEnd w:id="16"/>
    <w:r>
      <w:rPr>
        <w:rFonts w:hint="eastAsia" w:eastAsia="方正姚体"/>
        <w:sz w:val="18"/>
        <w:szCs w:val="18"/>
      </w:rPr>
      <w:t>地球环境学在线短期项目·</w:t>
    </w:r>
    <w:r>
      <w:rPr>
        <w:rFonts w:eastAsia="方正姚体"/>
        <w:sz w:val="18"/>
        <w:szCs w:val="18"/>
      </w:rPr>
      <w:t>20</w:t>
    </w:r>
    <w:r>
      <w:rPr>
        <w:rFonts w:hint="eastAsia" w:eastAsia="方正姚体"/>
        <w:sz w:val="18"/>
        <w:szCs w:val="18"/>
      </w:rPr>
      <w:t>21</w:t>
    </w:r>
    <w:r>
      <w:rPr>
        <w:rFonts w:eastAsia="方正姚体"/>
        <w:sz w:val="18"/>
        <w:szCs w:val="18"/>
      </w:rPr>
      <w:t>年度招生简章</w:t>
    </w:r>
  </w:p>
  <w:p>
    <w:pP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223F"/>
    <w:multiLevelType w:val="multilevel"/>
    <w:tmpl w:val="137C223F"/>
    <w:lvl w:ilvl="0" w:tentative="0">
      <w:start w:val="1"/>
      <w:numFmt w:val="bullet"/>
      <w:suff w:val="space"/>
      <w:lvlText w:val="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1795583F"/>
    <w:multiLevelType w:val="multilevel"/>
    <w:tmpl w:val="1795583F"/>
    <w:lvl w:ilvl="0" w:tentative="0">
      <w:start w:val="1"/>
      <w:numFmt w:val="bullet"/>
      <w:suff w:val="space"/>
      <w:lvlText w:val=""/>
      <w:lvlJc w:val="left"/>
      <w:pPr>
        <w:ind w:left="125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1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3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5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7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9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1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3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59" w:hanging="420"/>
      </w:pPr>
      <w:rPr>
        <w:rFonts w:hint="default" w:ascii="Wingdings" w:hAnsi="Wingdings"/>
      </w:rPr>
    </w:lvl>
  </w:abstractNum>
  <w:abstractNum w:abstractNumId="2">
    <w:nsid w:val="233A242A"/>
    <w:multiLevelType w:val="multilevel"/>
    <w:tmpl w:val="233A242A"/>
    <w:lvl w:ilvl="0" w:tentative="0">
      <w:start w:val="1"/>
      <w:numFmt w:val="bullet"/>
      <w:suff w:val="space"/>
      <w:lvlText w:val="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30CA7E90"/>
    <w:multiLevelType w:val="multilevel"/>
    <w:tmpl w:val="30CA7E90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B6F5725"/>
    <w:multiLevelType w:val="multilevel"/>
    <w:tmpl w:val="3B6F572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7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A8"/>
    <w:rsid w:val="00004D14"/>
    <w:rsid w:val="0000668D"/>
    <w:rsid w:val="00021FF5"/>
    <w:rsid w:val="00031856"/>
    <w:rsid w:val="000428D3"/>
    <w:rsid w:val="00047A7A"/>
    <w:rsid w:val="000538B4"/>
    <w:rsid w:val="0006220A"/>
    <w:rsid w:val="00080A16"/>
    <w:rsid w:val="00097350"/>
    <w:rsid w:val="000A144B"/>
    <w:rsid w:val="000A35CD"/>
    <w:rsid w:val="000D1B7E"/>
    <w:rsid w:val="000D2EF1"/>
    <w:rsid w:val="000E3E82"/>
    <w:rsid w:val="00111F4F"/>
    <w:rsid w:val="001144A3"/>
    <w:rsid w:val="00133E4C"/>
    <w:rsid w:val="00192B7C"/>
    <w:rsid w:val="00197E13"/>
    <w:rsid w:val="001B0BA1"/>
    <w:rsid w:val="001C76FA"/>
    <w:rsid w:val="001C7FEB"/>
    <w:rsid w:val="001D2801"/>
    <w:rsid w:val="001D72C5"/>
    <w:rsid w:val="001F2B9A"/>
    <w:rsid w:val="002043A2"/>
    <w:rsid w:val="00214A92"/>
    <w:rsid w:val="00231D6A"/>
    <w:rsid w:val="002939DE"/>
    <w:rsid w:val="00295D70"/>
    <w:rsid w:val="002979E2"/>
    <w:rsid w:val="002B135C"/>
    <w:rsid w:val="002B5817"/>
    <w:rsid w:val="002F49C3"/>
    <w:rsid w:val="00303AC4"/>
    <w:rsid w:val="00304B22"/>
    <w:rsid w:val="00306FE6"/>
    <w:rsid w:val="00332522"/>
    <w:rsid w:val="00352721"/>
    <w:rsid w:val="0036185A"/>
    <w:rsid w:val="003B1F5F"/>
    <w:rsid w:val="003D05D4"/>
    <w:rsid w:val="003D6CE6"/>
    <w:rsid w:val="003E1060"/>
    <w:rsid w:val="003F2018"/>
    <w:rsid w:val="00403738"/>
    <w:rsid w:val="00434B8F"/>
    <w:rsid w:val="004417B5"/>
    <w:rsid w:val="00444CA8"/>
    <w:rsid w:val="00453891"/>
    <w:rsid w:val="00475C41"/>
    <w:rsid w:val="0049437B"/>
    <w:rsid w:val="004C0532"/>
    <w:rsid w:val="004E18DC"/>
    <w:rsid w:val="004E3E7C"/>
    <w:rsid w:val="004F1216"/>
    <w:rsid w:val="005118AE"/>
    <w:rsid w:val="00517C00"/>
    <w:rsid w:val="00520A30"/>
    <w:rsid w:val="00536C73"/>
    <w:rsid w:val="005431B7"/>
    <w:rsid w:val="00550F61"/>
    <w:rsid w:val="005820D4"/>
    <w:rsid w:val="00582D09"/>
    <w:rsid w:val="005A7484"/>
    <w:rsid w:val="005B50D4"/>
    <w:rsid w:val="005D1B09"/>
    <w:rsid w:val="005F4109"/>
    <w:rsid w:val="00613585"/>
    <w:rsid w:val="00613A3D"/>
    <w:rsid w:val="006168DE"/>
    <w:rsid w:val="00670798"/>
    <w:rsid w:val="0069786F"/>
    <w:rsid w:val="006A6864"/>
    <w:rsid w:val="006A7A6E"/>
    <w:rsid w:val="006B30D2"/>
    <w:rsid w:val="006C7E3D"/>
    <w:rsid w:val="006D6E89"/>
    <w:rsid w:val="006E542F"/>
    <w:rsid w:val="006E6824"/>
    <w:rsid w:val="006F1943"/>
    <w:rsid w:val="006F289E"/>
    <w:rsid w:val="00723486"/>
    <w:rsid w:val="00763564"/>
    <w:rsid w:val="00786B04"/>
    <w:rsid w:val="007C464A"/>
    <w:rsid w:val="007F542E"/>
    <w:rsid w:val="00805C03"/>
    <w:rsid w:val="0081010D"/>
    <w:rsid w:val="00831BDE"/>
    <w:rsid w:val="00835000"/>
    <w:rsid w:val="008458FA"/>
    <w:rsid w:val="00850C80"/>
    <w:rsid w:val="00877D78"/>
    <w:rsid w:val="008960AC"/>
    <w:rsid w:val="008A426A"/>
    <w:rsid w:val="008B2FEE"/>
    <w:rsid w:val="008F0115"/>
    <w:rsid w:val="008F4575"/>
    <w:rsid w:val="009072B8"/>
    <w:rsid w:val="00910A1C"/>
    <w:rsid w:val="00914404"/>
    <w:rsid w:val="00915002"/>
    <w:rsid w:val="00934D84"/>
    <w:rsid w:val="00943EC1"/>
    <w:rsid w:val="00950A26"/>
    <w:rsid w:val="00951577"/>
    <w:rsid w:val="0097240D"/>
    <w:rsid w:val="00980C57"/>
    <w:rsid w:val="009B7119"/>
    <w:rsid w:val="00A03CA7"/>
    <w:rsid w:val="00A27A93"/>
    <w:rsid w:val="00A42863"/>
    <w:rsid w:val="00A460F5"/>
    <w:rsid w:val="00A63A63"/>
    <w:rsid w:val="00A67D03"/>
    <w:rsid w:val="00A77EBE"/>
    <w:rsid w:val="00A92EDE"/>
    <w:rsid w:val="00AD54A8"/>
    <w:rsid w:val="00AE5E74"/>
    <w:rsid w:val="00AF1513"/>
    <w:rsid w:val="00AF1831"/>
    <w:rsid w:val="00AF18EF"/>
    <w:rsid w:val="00B05F01"/>
    <w:rsid w:val="00B23266"/>
    <w:rsid w:val="00B46237"/>
    <w:rsid w:val="00B67551"/>
    <w:rsid w:val="00B763FD"/>
    <w:rsid w:val="00B92A2C"/>
    <w:rsid w:val="00B9585E"/>
    <w:rsid w:val="00B9687F"/>
    <w:rsid w:val="00BC6839"/>
    <w:rsid w:val="00BE0327"/>
    <w:rsid w:val="00C1313F"/>
    <w:rsid w:val="00C4242D"/>
    <w:rsid w:val="00C46A00"/>
    <w:rsid w:val="00C605F1"/>
    <w:rsid w:val="00C95FD9"/>
    <w:rsid w:val="00CB4433"/>
    <w:rsid w:val="00CD0BB2"/>
    <w:rsid w:val="00CE4D83"/>
    <w:rsid w:val="00D031BA"/>
    <w:rsid w:val="00D137FA"/>
    <w:rsid w:val="00D24A27"/>
    <w:rsid w:val="00D40520"/>
    <w:rsid w:val="00D54332"/>
    <w:rsid w:val="00D5597F"/>
    <w:rsid w:val="00D708B6"/>
    <w:rsid w:val="00D83E04"/>
    <w:rsid w:val="00D91767"/>
    <w:rsid w:val="00D91EE6"/>
    <w:rsid w:val="00DA761D"/>
    <w:rsid w:val="00DB0158"/>
    <w:rsid w:val="00DC39A7"/>
    <w:rsid w:val="00DD1548"/>
    <w:rsid w:val="00DD1E49"/>
    <w:rsid w:val="00DE55AE"/>
    <w:rsid w:val="00DF237A"/>
    <w:rsid w:val="00DF433B"/>
    <w:rsid w:val="00E04442"/>
    <w:rsid w:val="00E21C59"/>
    <w:rsid w:val="00E260FC"/>
    <w:rsid w:val="00E3484B"/>
    <w:rsid w:val="00E67132"/>
    <w:rsid w:val="00E67408"/>
    <w:rsid w:val="00E91745"/>
    <w:rsid w:val="00EC334C"/>
    <w:rsid w:val="00EE4FB0"/>
    <w:rsid w:val="00EF712B"/>
    <w:rsid w:val="00F01982"/>
    <w:rsid w:val="00F1177E"/>
    <w:rsid w:val="00F224AD"/>
    <w:rsid w:val="00F36060"/>
    <w:rsid w:val="00F6495E"/>
    <w:rsid w:val="00F70FED"/>
    <w:rsid w:val="00F94208"/>
    <w:rsid w:val="00FE515A"/>
    <w:rsid w:val="1FBB6CA1"/>
    <w:rsid w:val="236F3CC3"/>
    <w:rsid w:val="4C974739"/>
    <w:rsid w:val="599072E8"/>
    <w:rsid w:val="5EE62827"/>
    <w:rsid w:val="669515E6"/>
    <w:rsid w:val="CF87092D"/>
    <w:rsid w:val="F9D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5">
    <w:name w:val="toc 1"/>
    <w:basedOn w:val="1"/>
    <w:next w:val="1"/>
    <w:unhideWhenUsed/>
    <w:qFormat/>
    <w:uiPriority w:val="39"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">
    <w:name w:val="Normal (Web)"/>
    <w:basedOn w:val="1"/>
    <w:qFormat/>
    <w:uiPriority w:val="0"/>
    <w:pPr>
      <w:spacing w:beforeAutospacing="1" w:afterAutospacing="1"/>
    </w:p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"/>
    <w:basedOn w:val="1"/>
    <w:qFormat/>
    <w:uiPriority w:val="99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12">
    <w:name w:val="ヘッダー (文字)"/>
    <w:basedOn w:val="9"/>
    <w:link w:val="4"/>
    <w:qFormat/>
    <w:uiPriority w:val="99"/>
    <w:rPr>
      <w:sz w:val="18"/>
      <w:szCs w:val="18"/>
    </w:rPr>
  </w:style>
  <w:style w:type="character" w:customStyle="1" w:styleId="13">
    <w:name w:val="フッター (文字)"/>
    <w:basedOn w:val="9"/>
    <w:link w:val="3"/>
    <w:qFormat/>
    <w:uiPriority w:val="99"/>
    <w:rPr>
      <w:sz w:val="18"/>
      <w:szCs w:val="18"/>
    </w:rPr>
  </w:style>
  <w:style w:type="character" w:customStyle="1" w:styleId="14">
    <w:name w:val="見出し 1 (文字)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目次の見出し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列出段落1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  <w:szCs w:val="22"/>
    </w:rPr>
  </w:style>
  <w:style w:type="paragraph" w:customStyle="1" w:styleId="17">
    <w:name w:val="列出段落2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  <w:szCs w:val="22"/>
    </w:rPr>
  </w:style>
  <w:style w:type="character" w:customStyle="1" w:styleId="18">
    <w:name w:val="未解決のメンション1"/>
    <w:basedOn w:val="9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2671</Words>
  <Characters>4204</Characters>
  <Lines>39</Lines>
  <Paragraphs>11</Paragraphs>
  <TotalTime>57</TotalTime>
  <ScaleCrop>false</ScaleCrop>
  <LinksUpToDate>false</LinksUpToDate>
  <CharactersWithSpaces>4560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2021-04-13T06:10:00Z</dcterms:created>
  <dc:creator>tan</dc:creator>
  <cp:lastModifiedBy>hg</cp:lastModifiedBy>
  <cp:lastPrinted>2019-02-13T19:33:00Z</cp:lastPrinted>
  <dcterms:modified xsi:type="dcterms:W3CDTF">2021-05-10T09:39:10Z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